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Honors Biology Summer Work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Read and annotate </w:t>
      </w:r>
      <w:r w:rsidDel="00000000" w:rsidR="00000000" w:rsidRPr="00000000">
        <w:rPr>
          <w:i w:val="1"/>
          <w:rtl w:val="0"/>
        </w:rPr>
        <w:t xml:space="preserve">Gathering Moss: A Natural and Cultural History of Mosses</w:t>
      </w:r>
      <w:r w:rsidDel="00000000" w:rsidR="00000000" w:rsidRPr="00000000">
        <w:rPr>
          <w:rtl w:val="0"/>
        </w:rPr>
        <w:t xml:space="preserve"> by </w:t>
      </w:r>
      <w:hyperlink r:id="rId6">
        <w:r w:rsidDel="00000000" w:rsidR="00000000" w:rsidRPr="00000000">
          <w:rPr>
            <w:color w:val="1155cc"/>
            <w:u w:val="single"/>
            <w:rtl w:val="0"/>
          </w:rPr>
          <w:t xml:space="preserve">Robin Wall Kimmerer</w:t>
        </w:r>
      </w:hyperlink>
      <w:r w:rsidDel="00000000" w:rsidR="00000000" w:rsidRPr="00000000">
        <w:rPr>
          <w:rtl w:val="0"/>
        </w:rPr>
        <w:t xml:space="preserve"> (ISBN: 0-87071-499-6). We will use this book periodically throughout the school year. Yes, it’s about moss, but it’s about so much more!! By getting to know how mosses interact with their environment and provide amazing benefits for other living things, Kimmerer also addresses the disconnect modern humans in developed countries have from their environment. Can we learn to live in a web of reciprocity?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Annotate to make connections to:</w:t>
      </w:r>
    </w:p>
    <w:p w:rsidR="00000000" w:rsidDel="00000000" w:rsidP="00000000" w:rsidRDefault="00000000" w:rsidRPr="00000000" w14:paraId="00000006">
      <w:pPr>
        <w:rPr/>
      </w:pPr>
      <w:r w:rsidDel="00000000" w:rsidR="00000000" w:rsidRPr="00000000">
        <w:rPr>
          <w:rtl w:val="0"/>
        </w:rPr>
        <w:tab/>
        <w:t xml:space="preserve">a.. Grade level points of conflict:</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9: To what extent do individual, cultural and community experiences influence how we interpret the world around us?</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10: Throughout historical regions, to what extent do one community’s needs and wants impact another’s?</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11: To what extent do the desires of individuals and groups conflict with priorities of the nation?</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12: To what extent can the perspectives and actions of individuals, communities, and nations impact our contemporary world?</w:t>
      </w:r>
    </w:p>
    <w:p w:rsidR="00000000" w:rsidDel="00000000" w:rsidP="00000000" w:rsidRDefault="00000000" w:rsidRPr="00000000" w14:paraId="0000000B">
      <w:pPr>
        <w:rPr/>
      </w:pPr>
      <w:r w:rsidDel="00000000" w:rsidR="00000000" w:rsidRPr="00000000">
        <w:rPr>
          <w:rtl w:val="0"/>
        </w:rPr>
        <w:tab/>
        <w:t xml:space="preserve">b. Big grade level or CCS questions, like:</w:t>
      </w:r>
    </w:p>
    <w:p w:rsidR="00000000" w:rsidDel="00000000" w:rsidP="00000000" w:rsidRDefault="00000000" w:rsidRPr="00000000" w14:paraId="0000000C">
      <w:pPr>
        <w:rPr/>
      </w:pPr>
      <w:r w:rsidDel="00000000" w:rsidR="00000000" w:rsidRPr="00000000">
        <w:rPr>
          <w:rtl w:val="0"/>
        </w:rPr>
        <w:tab/>
        <w:tab/>
        <w:t xml:space="preserve">i. Who am I becoming in this world?</w:t>
      </w:r>
    </w:p>
    <w:p w:rsidR="00000000" w:rsidDel="00000000" w:rsidP="00000000" w:rsidRDefault="00000000" w:rsidRPr="00000000" w14:paraId="0000000D">
      <w:pPr>
        <w:rPr/>
      </w:pPr>
      <w:r w:rsidDel="00000000" w:rsidR="00000000" w:rsidRPr="00000000">
        <w:rPr>
          <w:rtl w:val="0"/>
        </w:rPr>
        <w:tab/>
        <w:tab/>
        <w:t xml:space="preserve">ii. How do I engage with the world?</w:t>
      </w:r>
    </w:p>
    <w:p w:rsidR="00000000" w:rsidDel="00000000" w:rsidP="00000000" w:rsidRDefault="00000000" w:rsidRPr="00000000" w14:paraId="0000000E">
      <w:pPr>
        <w:rPr/>
      </w:pPr>
      <w:r w:rsidDel="00000000" w:rsidR="00000000" w:rsidRPr="00000000">
        <w:rPr>
          <w:rtl w:val="0"/>
        </w:rPr>
        <w:tab/>
        <w:t xml:space="preserve">c. Broad scientific or biology concepts that can be generalized beyond mosses, including scientific methodology.</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t xml:space="preserve">2. This is intentionally vague. Do what you think you should do or ought to do or need to do in order to complete this task: </w:t>
      </w:r>
      <w:r w:rsidDel="00000000" w:rsidR="00000000" w:rsidRPr="00000000">
        <w:rPr>
          <w:i w:val="1"/>
          <w:rtl w:val="0"/>
        </w:rPr>
        <w:t xml:space="preserve">Use the method of loci to memorize eukaryotic cell organelle structure and function.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 Stay up-to-date on science news. If you find an interesting article, email it to me over the summer - include why you find the article interesting or compelling. Good sources include, but are not limited to:</w:t>
      </w:r>
    </w:p>
    <w:p w:rsidR="00000000" w:rsidDel="00000000" w:rsidP="00000000" w:rsidRDefault="00000000" w:rsidRPr="00000000" w14:paraId="00000015">
      <w:pPr>
        <w:rPr/>
      </w:pPr>
      <w:r w:rsidDel="00000000" w:rsidR="00000000" w:rsidRPr="00000000">
        <w:rPr>
          <w:rtl w:val="0"/>
        </w:rPr>
        <w:tab/>
      </w:r>
      <w:hyperlink r:id="rId7">
        <w:r w:rsidDel="00000000" w:rsidR="00000000" w:rsidRPr="00000000">
          <w:rPr>
            <w:color w:val="1155cc"/>
            <w:u w:val="single"/>
            <w:rtl w:val="0"/>
          </w:rPr>
          <w:t xml:space="preserve">Science News for Students</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r>
      <w:hyperlink r:id="rId8">
        <w:r w:rsidDel="00000000" w:rsidR="00000000" w:rsidRPr="00000000">
          <w:rPr>
            <w:color w:val="1155cc"/>
            <w:u w:val="single"/>
            <w:rtl w:val="0"/>
          </w:rPr>
          <w:t xml:space="preserve">New York Times Science section</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r>
      <w:hyperlink r:id="rId9">
        <w:r w:rsidDel="00000000" w:rsidR="00000000" w:rsidRPr="00000000">
          <w:rPr>
            <w:color w:val="1155cc"/>
            <w:u w:val="single"/>
            <w:rtl w:val="0"/>
          </w:rPr>
          <w:t xml:space="preserve">Scientific American</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tificamerican.com/" TargetMode="External"/><Relationship Id="rId5" Type="http://schemas.openxmlformats.org/officeDocument/2006/relationships/styles" Target="styles.xml"/><Relationship Id="rId6" Type="http://schemas.openxmlformats.org/officeDocument/2006/relationships/hyperlink" Target="https://www.esf.edu/faculty/kimmerer/" TargetMode="External"/><Relationship Id="rId7" Type="http://schemas.openxmlformats.org/officeDocument/2006/relationships/hyperlink" Target="https://www.sciencenewsforstudents.org/" TargetMode="External"/><Relationship Id="rId8" Type="http://schemas.openxmlformats.org/officeDocument/2006/relationships/hyperlink" Target="https://www.nytimes.com/sectio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